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E4F" w:rsidRPr="002B7E4F" w:rsidRDefault="002B7E4F" w:rsidP="002B7E4F">
      <w:pPr>
        <w:jc w:val="both"/>
        <w:rPr>
          <w:rFonts w:ascii="Arial" w:hAnsi="Arial" w:cs="Arial"/>
          <w:b/>
          <w:sz w:val="22"/>
          <w:szCs w:val="22"/>
          <w:lang w:val="es-MX"/>
        </w:rPr>
      </w:pPr>
      <w:bookmarkStart w:id="0" w:name="_GoBack"/>
      <w:bookmarkEnd w:id="0"/>
    </w:p>
    <w:p w:rsidR="002B7E4F" w:rsidRPr="002B7E4F" w:rsidRDefault="002B7E4F" w:rsidP="002B7E4F">
      <w:pPr>
        <w:tabs>
          <w:tab w:val="left" w:pos="426"/>
        </w:tabs>
        <w:jc w:val="both"/>
        <w:rPr>
          <w:rFonts w:ascii="Arial" w:hAnsi="Arial" w:cs="Arial"/>
          <w:b/>
          <w:sz w:val="22"/>
          <w:szCs w:val="22"/>
          <w:lang w:val="es-MX"/>
        </w:rPr>
      </w:pPr>
      <w:r w:rsidRPr="002B7E4F">
        <w:rPr>
          <w:rFonts w:ascii="Arial" w:hAnsi="Arial" w:cs="Arial"/>
          <w:b/>
          <w:sz w:val="22"/>
          <w:szCs w:val="22"/>
          <w:lang w:val="es-MX"/>
        </w:rPr>
        <w:t>EP</w:t>
      </w:r>
      <w:r w:rsidR="00690EBC">
        <w:rPr>
          <w:rFonts w:ascii="Arial" w:hAnsi="Arial" w:cs="Arial"/>
          <w:b/>
          <w:sz w:val="22"/>
          <w:szCs w:val="22"/>
          <w:lang w:val="es-MX"/>
        </w:rPr>
        <w:t>.</w:t>
      </w:r>
      <w:r w:rsidRPr="002B7E4F">
        <w:rPr>
          <w:rFonts w:ascii="Arial" w:hAnsi="Arial" w:cs="Arial"/>
          <w:b/>
          <w:sz w:val="22"/>
          <w:szCs w:val="22"/>
          <w:lang w:val="es-MX"/>
        </w:rPr>
        <w:t xml:space="preserve"> 121</w:t>
      </w:r>
      <w:r w:rsidR="00690EBC">
        <w:rPr>
          <w:rFonts w:ascii="Arial" w:hAnsi="Arial" w:cs="Arial"/>
          <w:b/>
          <w:sz w:val="22"/>
          <w:szCs w:val="22"/>
          <w:lang w:val="es-MX"/>
        </w:rPr>
        <w:t>.-</w:t>
      </w:r>
      <w:r w:rsidRPr="002B7E4F">
        <w:rPr>
          <w:rFonts w:ascii="Arial" w:hAnsi="Arial" w:cs="Arial"/>
          <w:b/>
          <w:sz w:val="22"/>
          <w:szCs w:val="22"/>
          <w:lang w:val="es-MX"/>
        </w:rPr>
        <w:t xml:space="preserve"> CANALIZACIONES PORTACABLES ESTACIÓNN TIPO ELEVADA</w:t>
      </w:r>
    </w:p>
    <w:p w:rsidR="002B7E4F" w:rsidRPr="002B7E4F" w:rsidRDefault="002B7E4F" w:rsidP="002B7E4F">
      <w:pPr>
        <w:tabs>
          <w:tab w:val="left" w:pos="426"/>
        </w:tabs>
        <w:jc w:val="both"/>
        <w:rPr>
          <w:rFonts w:ascii="Arial" w:hAnsi="Arial" w:cs="Arial"/>
          <w:b/>
          <w:sz w:val="22"/>
          <w:szCs w:val="22"/>
          <w:lang w:val="es-MX"/>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Suministro, instalación, configuración y comprobación del conjunto de canalizaciones </w:t>
      </w:r>
      <w:proofErr w:type="spellStart"/>
      <w:r w:rsidRPr="002B7E4F">
        <w:rPr>
          <w:rFonts w:ascii="Arial" w:hAnsi="Arial" w:cs="Arial"/>
          <w:sz w:val="22"/>
          <w:szCs w:val="22"/>
        </w:rPr>
        <w:t>portacables</w:t>
      </w:r>
      <w:proofErr w:type="spellEnd"/>
      <w:r w:rsidRPr="002B7E4F">
        <w:rPr>
          <w:rFonts w:ascii="Arial" w:hAnsi="Arial" w:cs="Arial"/>
          <w:sz w:val="22"/>
          <w:szCs w:val="22"/>
        </w:rPr>
        <w:t xml:space="preserve"> y/o charolas necesarias para el tendido del cableado del Sistema de alumbrado y fuerza de las estaciones tipo subterránea. Incluye accesorios de montaje, soportes y elementos auxiliares para su correcta instalación y señalización. Según especificaciones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51"/>
        </w:numPr>
        <w:rPr>
          <w:rFonts w:ascii="Arial" w:hAnsi="Arial" w:cs="Arial"/>
          <w:b/>
          <w:sz w:val="22"/>
          <w:szCs w:val="22"/>
        </w:rPr>
      </w:pPr>
      <w:bookmarkStart w:id="1" w:name="_Toc368069931"/>
      <w:r w:rsidRPr="002B7E4F">
        <w:rPr>
          <w:rFonts w:ascii="Arial" w:hAnsi="Arial" w:cs="Arial"/>
          <w:b/>
          <w:sz w:val="22"/>
          <w:szCs w:val="22"/>
        </w:rPr>
        <w:t>Características Técnicas</w:t>
      </w:r>
      <w:bookmarkEnd w:id="1"/>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Dependiendo del uso y lugar donde debe instalarse, las canalizaciones podrán ser:</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Charola metálica tipo rejilla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Charola metálica tipo ciega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Tuberías de pared gruesa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Igualmente, su dimensión variará dependiendo de la cantidad de cables que deban instalarse en su interior. Por este motivo, antes de realizar el pedido, el contratista deberá estudiar y calcular las dimensiones de cada una de las canalizaciones a instalar presentando una propuesta justificada a la Dirección de Obra.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A continuación se definen las características técnicas a cumplir por los distintos materiales: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Charola metálica tipo rejilla</w:t>
      </w:r>
    </w:p>
    <w:p w:rsidR="002B7E4F" w:rsidRPr="002B7E4F" w:rsidRDefault="002B7E4F" w:rsidP="002B7E4F">
      <w:pPr>
        <w:tabs>
          <w:tab w:val="left" w:pos="426"/>
        </w:tabs>
        <w:ind w:left="360"/>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5"/>
        <w:gridCol w:w="4163"/>
      </w:tblGrid>
      <w:tr w:rsidR="002B7E4F" w:rsidRPr="002B7E4F" w:rsidTr="002B7E4F">
        <w:trPr>
          <w:tblHeader/>
          <w:jc w:val="center"/>
        </w:trPr>
        <w:tc>
          <w:tcPr>
            <w:tcW w:w="4255" w:type="dxa"/>
            <w:shd w:val="clear" w:color="auto" w:fill="0F243E"/>
          </w:tcPr>
          <w:p w:rsidR="002B7E4F" w:rsidRPr="002B7E4F" w:rsidRDefault="002B7E4F" w:rsidP="002B7E4F">
            <w:pPr>
              <w:tabs>
                <w:tab w:val="left" w:pos="426"/>
              </w:tabs>
              <w:jc w:val="both"/>
              <w:rPr>
                <w:rFonts w:ascii="Arial" w:hAnsi="Arial" w:cs="Arial"/>
                <w:b/>
                <w:color w:val="FFFFFF"/>
                <w:sz w:val="22"/>
                <w:szCs w:val="22"/>
              </w:rPr>
            </w:pPr>
            <w:r w:rsidRPr="002B7E4F">
              <w:rPr>
                <w:rFonts w:ascii="Arial" w:hAnsi="Arial" w:cs="Arial"/>
                <w:b/>
                <w:color w:val="FFFFFF"/>
                <w:sz w:val="22"/>
                <w:szCs w:val="22"/>
              </w:rPr>
              <w:t>Características</w:t>
            </w:r>
          </w:p>
        </w:tc>
        <w:tc>
          <w:tcPr>
            <w:tcW w:w="4163" w:type="dxa"/>
            <w:shd w:val="clear" w:color="auto" w:fill="0F243E"/>
          </w:tcPr>
          <w:p w:rsidR="002B7E4F" w:rsidRPr="002B7E4F" w:rsidRDefault="002B7E4F" w:rsidP="002B7E4F">
            <w:pPr>
              <w:tabs>
                <w:tab w:val="left" w:pos="426"/>
              </w:tabs>
              <w:jc w:val="both"/>
              <w:rPr>
                <w:rFonts w:ascii="Arial" w:hAnsi="Arial" w:cs="Arial"/>
                <w:b/>
                <w:color w:val="FFFFFF"/>
                <w:sz w:val="22"/>
                <w:szCs w:val="22"/>
              </w:rPr>
            </w:pPr>
            <w:r w:rsidRPr="002B7E4F">
              <w:rPr>
                <w:rFonts w:ascii="Arial" w:hAnsi="Arial" w:cs="Arial"/>
                <w:b/>
                <w:color w:val="FFFFFF"/>
                <w:sz w:val="22"/>
                <w:szCs w:val="22"/>
              </w:rPr>
              <w:t>Proyectado</w:t>
            </w:r>
          </w:p>
        </w:tc>
      </w:tr>
      <w:tr w:rsidR="002B7E4F" w:rsidRPr="002B7E4F" w:rsidTr="002B7E4F">
        <w:trPr>
          <w:jc w:val="center"/>
        </w:trPr>
        <w:tc>
          <w:tcPr>
            <w:tcW w:w="4255"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Tipo material</w:t>
            </w:r>
          </w:p>
        </w:tc>
        <w:tc>
          <w:tcPr>
            <w:tcW w:w="4163" w:type="dxa"/>
            <w:shd w:val="clear" w:color="auto" w:fill="auto"/>
            <w:vAlign w:val="center"/>
          </w:tcPr>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Acero </w:t>
            </w:r>
            <w:proofErr w:type="spellStart"/>
            <w:r w:rsidRPr="002B7E4F">
              <w:rPr>
                <w:rFonts w:ascii="Arial" w:hAnsi="Arial" w:cs="Arial"/>
                <w:sz w:val="22"/>
                <w:szCs w:val="22"/>
              </w:rPr>
              <w:t>Electrocincado</w:t>
            </w:r>
            <w:proofErr w:type="spellEnd"/>
            <w:r w:rsidRPr="002B7E4F">
              <w:rPr>
                <w:rFonts w:ascii="Arial" w:hAnsi="Arial" w:cs="Arial"/>
                <w:sz w:val="22"/>
                <w:szCs w:val="22"/>
              </w:rPr>
              <w:t xml:space="preserve"> (UNE-EN ISO 2081)</w:t>
            </w:r>
          </w:p>
        </w:tc>
      </w:tr>
      <w:tr w:rsidR="002B7E4F" w:rsidRPr="002B7E4F" w:rsidTr="002B7E4F">
        <w:trPr>
          <w:jc w:val="center"/>
        </w:trPr>
        <w:tc>
          <w:tcPr>
            <w:tcW w:w="4255"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Resistencia a la Corrosión (UNE-EN 61537)</w:t>
            </w:r>
          </w:p>
        </w:tc>
        <w:tc>
          <w:tcPr>
            <w:tcW w:w="4163" w:type="dxa"/>
            <w:shd w:val="clear" w:color="auto" w:fill="auto"/>
            <w:vAlign w:val="center"/>
          </w:tcPr>
          <w:p w:rsidR="002B7E4F" w:rsidRPr="002B7E4F" w:rsidRDefault="002B7E4F" w:rsidP="002B7E4F">
            <w:pPr>
              <w:jc w:val="both"/>
              <w:rPr>
                <w:rFonts w:ascii="Arial" w:hAnsi="Arial" w:cs="Arial"/>
                <w:sz w:val="22"/>
                <w:szCs w:val="22"/>
              </w:rPr>
            </w:pPr>
            <w:r w:rsidRPr="002B7E4F">
              <w:rPr>
                <w:rFonts w:ascii="Arial" w:hAnsi="Arial" w:cs="Arial"/>
                <w:sz w:val="22"/>
                <w:szCs w:val="22"/>
              </w:rPr>
              <w:t>Clase 4</w:t>
            </w:r>
          </w:p>
        </w:tc>
      </w:tr>
      <w:tr w:rsidR="002B7E4F" w:rsidRPr="002B7E4F" w:rsidTr="002B7E4F">
        <w:trPr>
          <w:jc w:val="center"/>
        </w:trPr>
        <w:tc>
          <w:tcPr>
            <w:tcW w:w="4255"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Resistencia al fuego (DIN 4102-12)</w:t>
            </w:r>
          </w:p>
        </w:tc>
        <w:tc>
          <w:tcPr>
            <w:tcW w:w="4163" w:type="dxa"/>
            <w:shd w:val="clear" w:color="auto" w:fill="auto"/>
            <w:vAlign w:val="center"/>
          </w:tcPr>
          <w:p w:rsidR="002B7E4F" w:rsidRPr="002B7E4F" w:rsidRDefault="002B7E4F" w:rsidP="002B7E4F">
            <w:pPr>
              <w:jc w:val="both"/>
              <w:rPr>
                <w:rFonts w:ascii="Arial" w:hAnsi="Arial" w:cs="Arial"/>
                <w:sz w:val="22"/>
                <w:szCs w:val="22"/>
              </w:rPr>
            </w:pPr>
            <w:r w:rsidRPr="002B7E4F">
              <w:rPr>
                <w:rFonts w:ascii="Arial" w:hAnsi="Arial" w:cs="Arial"/>
                <w:sz w:val="22"/>
                <w:szCs w:val="22"/>
              </w:rPr>
              <w:t>E90</w:t>
            </w:r>
          </w:p>
        </w:tc>
      </w:tr>
      <w:tr w:rsidR="002B7E4F" w:rsidRPr="002B7E4F" w:rsidTr="002B7E4F">
        <w:trPr>
          <w:jc w:val="center"/>
        </w:trPr>
        <w:tc>
          <w:tcPr>
            <w:tcW w:w="4255"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Clasificación no combustible</w:t>
            </w:r>
          </w:p>
        </w:tc>
        <w:tc>
          <w:tcPr>
            <w:tcW w:w="4163" w:type="dxa"/>
            <w:shd w:val="clear" w:color="auto" w:fill="auto"/>
            <w:vAlign w:val="center"/>
          </w:tcPr>
          <w:p w:rsidR="002B7E4F" w:rsidRPr="002B7E4F" w:rsidRDefault="002B7E4F" w:rsidP="002B7E4F">
            <w:pPr>
              <w:jc w:val="both"/>
              <w:rPr>
                <w:rFonts w:ascii="Arial" w:hAnsi="Arial" w:cs="Arial"/>
                <w:sz w:val="22"/>
                <w:szCs w:val="22"/>
              </w:rPr>
            </w:pPr>
            <w:r w:rsidRPr="002B7E4F">
              <w:rPr>
                <w:rFonts w:ascii="Arial" w:hAnsi="Arial" w:cs="Arial"/>
                <w:sz w:val="22"/>
                <w:szCs w:val="22"/>
              </w:rPr>
              <w:t>M0 / A1</w:t>
            </w:r>
          </w:p>
        </w:tc>
      </w:tr>
      <w:tr w:rsidR="002B7E4F" w:rsidRPr="002B7E4F" w:rsidTr="002B7E4F">
        <w:trPr>
          <w:jc w:val="center"/>
        </w:trPr>
        <w:tc>
          <w:tcPr>
            <w:tcW w:w="4255"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Diámetro varilla</w:t>
            </w:r>
          </w:p>
        </w:tc>
        <w:tc>
          <w:tcPr>
            <w:tcW w:w="4163" w:type="dxa"/>
            <w:shd w:val="clear" w:color="auto" w:fill="auto"/>
            <w:vAlign w:val="center"/>
          </w:tcPr>
          <w:p w:rsidR="002B7E4F" w:rsidRPr="002B7E4F" w:rsidRDefault="002B7E4F" w:rsidP="002B7E4F">
            <w:pPr>
              <w:jc w:val="both"/>
              <w:rPr>
                <w:rFonts w:ascii="Arial" w:hAnsi="Arial" w:cs="Arial"/>
                <w:sz w:val="22"/>
                <w:szCs w:val="22"/>
              </w:rPr>
            </w:pPr>
            <w:r w:rsidRPr="002B7E4F">
              <w:rPr>
                <w:rFonts w:ascii="Arial" w:hAnsi="Arial" w:cs="Arial"/>
                <w:sz w:val="22"/>
                <w:szCs w:val="22"/>
              </w:rPr>
              <w:t>&gt; 4,5</w:t>
            </w:r>
          </w:p>
        </w:tc>
      </w:tr>
      <w:tr w:rsidR="002B7E4F" w:rsidRPr="002B7E4F" w:rsidTr="002B7E4F">
        <w:trPr>
          <w:jc w:val="center"/>
        </w:trPr>
        <w:tc>
          <w:tcPr>
            <w:tcW w:w="4255"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Valores de carga</w:t>
            </w:r>
          </w:p>
        </w:tc>
        <w:tc>
          <w:tcPr>
            <w:tcW w:w="4163" w:type="dxa"/>
            <w:shd w:val="clear" w:color="auto" w:fill="auto"/>
            <w:vAlign w:val="center"/>
          </w:tcPr>
          <w:p w:rsidR="002B7E4F" w:rsidRPr="002B7E4F" w:rsidRDefault="002B7E4F" w:rsidP="002B7E4F">
            <w:pPr>
              <w:jc w:val="both"/>
              <w:rPr>
                <w:rFonts w:ascii="Arial" w:hAnsi="Arial" w:cs="Arial"/>
                <w:sz w:val="22"/>
                <w:szCs w:val="22"/>
              </w:rPr>
            </w:pPr>
            <w:r w:rsidRPr="002B7E4F">
              <w:rPr>
                <w:rFonts w:ascii="Arial" w:hAnsi="Arial" w:cs="Arial"/>
                <w:sz w:val="22"/>
                <w:szCs w:val="22"/>
              </w:rPr>
              <w:t>48</w:t>
            </w:r>
          </w:p>
        </w:tc>
      </w:tr>
    </w:tbl>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Charola metálica tipo ciega</w:t>
      </w:r>
    </w:p>
    <w:p w:rsidR="002B7E4F" w:rsidRPr="002B7E4F" w:rsidRDefault="002B7E4F" w:rsidP="002B7E4F">
      <w:pPr>
        <w:tabs>
          <w:tab w:val="left" w:pos="426"/>
        </w:tabs>
        <w:ind w:left="360"/>
        <w:jc w:val="both"/>
        <w:rPr>
          <w:rFonts w:ascii="Arial" w:hAnsi="Arial" w:cs="Arial"/>
          <w:sz w:val="22"/>
          <w:szCs w:val="22"/>
        </w:rPr>
      </w:pPr>
    </w:p>
    <w:tbl>
      <w:tblPr>
        <w:tblW w:w="9107" w:type="dxa"/>
        <w:jc w:val="center"/>
        <w:tblInd w:w="-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9"/>
        <w:gridCol w:w="4878"/>
      </w:tblGrid>
      <w:tr w:rsidR="002B7E4F" w:rsidRPr="002B7E4F" w:rsidTr="002B7E4F">
        <w:trPr>
          <w:tblHeader/>
          <w:jc w:val="center"/>
        </w:trPr>
        <w:tc>
          <w:tcPr>
            <w:tcW w:w="4229" w:type="dxa"/>
            <w:shd w:val="clear" w:color="auto" w:fill="0F243E"/>
          </w:tcPr>
          <w:p w:rsidR="002B7E4F" w:rsidRPr="002B7E4F" w:rsidRDefault="002B7E4F" w:rsidP="002B7E4F">
            <w:pPr>
              <w:tabs>
                <w:tab w:val="left" w:pos="426"/>
              </w:tabs>
              <w:ind w:left="360"/>
              <w:jc w:val="both"/>
              <w:rPr>
                <w:rFonts w:ascii="Arial" w:hAnsi="Arial" w:cs="Arial"/>
                <w:b/>
                <w:color w:val="FFFFFF"/>
                <w:sz w:val="22"/>
                <w:szCs w:val="22"/>
              </w:rPr>
            </w:pPr>
            <w:r w:rsidRPr="002B7E4F">
              <w:rPr>
                <w:rFonts w:ascii="Arial" w:hAnsi="Arial" w:cs="Arial"/>
                <w:b/>
                <w:color w:val="FFFFFF"/>
                <w:sz w:val="22"/>
                <w:szCs w:val="22"/>
              </w:rPr>
              <w:t>Características</w:t>
            </w:r>
          </w:p>
        </w:tc>
        <w:tc>
          <w:tcPr>
            <w:tcW w:w="4878" w:type="dxa"/>
            <w:shd w:val="clear" w:color="auto" w:fill="0F243E"/>
          </w:tcPr>
          <w:p w:rsidR="002B7E4F" w:rsidRPr="002B7E4F" w:rsidRDefault="002B7E4F" w:rsidP="002B7E4F">
            <w:pPr>
              <w:tabs>
                <w:tab w:val="left" w:pos="426"/>
              </w:tabs>
              <w:ind w:left="360"/>
              <w:jc w:val="both"/>
              <w:rPr>
                <w:rFonts w:ascii="Arial" w:hAnsi="Arial" w:cs="Arial"/>
                <w:b/>
                <w:color w:val="FFFFFF"/>
                <w:sz w:val="22"/>
                <w:szCs w:val="22"/>
              </w:rPr>
            </w:pPr>
            <w:r w:rsidRPr="002B7E4F">
              <w:rPr>
                <w:rFonts w:ascii="Arial" w:hAnsi="Arial" w:cs="Arial"/>
                <w:b/>
                <w:color w:val="FFFFFF"/>
                <w:sz w:val="22"/>
                <w:szCs w:val="22"/>
              </w:rPr>
              <w:t>Proyectado</w:t>
            </w:r>
          </w:p>
        </w:tc>
      </w:tr>
      <w:tr w:rsidR="002B7E4F" w:rsidRPr="002B7E4F" w:rsidTr="002B7E4F">
        <w:trPr>
          <w:jc w:val="center"/>
        </w:trPr>
        <w:tc>
          <w:tcPr>
            <w:tcW w:w="4229" w:type="dxa"/>
            <w:shd w:val="clear" w:color="auto" w:fill="auto"/>
            <w:vAlign w:val="center"/>
          </w:tcPr>
          <w:p w:rsidR="002B7E4F" w:rsidRPr="002B7E4F" w:rsidRDefault="002B7E4F" w:rsidP="002B7E4F">
            <w:pPr>
              <w:jc w:val="both"/>
              <w:rPr>
                <w:rFonts w:ascii="Arial" w:hAnsi="Arial" w:cs="Arial"/>
                <w:sz w:val="22"/>
                <w:szCs w:val="22"/>
              </w:rPr>
            </w:pPr>
            <w:r w:rsidRPr="002B7E4F">
              <w:rPr>
                <w:rFonts w:ascii="Arial" w:hAnsi="Arial" w:cs="Arial"/>
                <w:sz w:val="22"/>
                <w:szCs w:val="22"/>
              </w:rPr>
              <w:t>Tipo material</w:t>
            </w:r>
          </w:p>
        </w:tc>
        <w:tc>
          <w:tcPr>
            <w:tcW w:w="4878" w:type="dxa"/>
            <w:shd w:val="clear" w:color="auto" w:fill="auto"/>
            <w:vAlign w:val="center"/>
          </w:tcPr>
          <w:p w:rsidR="002B7E4F" w:rsidRPr="002B7E4F" w:rsidRDefault="002B7E4F" w:rsidP="002B7E4F">
            <w:pPr>
              <w:jc w:val="both"/>
              <w:rPr>
                <w:rFonts w:ascii="Arial" w:hAnsi="Arial" w:cs="Arial"/>
                <w:sz w:val="22"/>
                <w:szCs w:val="22"/>
              </w:rPr>
            </w:pPr>
            <w:r w:rsidRPr="002B7E4F">
              <w:rPr>
                <w:rFonts w:ascii="Arial" w:hAnsi="Arial" w:cs="Arial"/>
                <w:sz w:val="22"/>
                <w:szCs w:val="22"/>
              </w:rPr>
              <w:t>Acero Galvanizado en caliente (UNE-EN ISO 1461)</w:t>
            </w:r>
          </w:p>
        </w:tc>
      </w:tr>
      <w:tr w:rsidR="002B7E4F" w:rsidRPr="002B7E4F" w:rsidTr="002B7E4F">
        <w:trPr>
          <w:jc w:val="center"/>
        </w:trPr>
        <w:tc>
          <w:tcPr>
            <w:tcW w:w="4229"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lastRenderedPageBreak/>
              <w:t>Resistencia al fuego (DIN 4102-12)</w:t>
            </w:r>
          </w:p>
        </w:tc>
        <w:tc>
          <w:tcPr>
            <w:tcW w:w="4878" w:type="dxa"/>
            <w:shd w:val="clear" w:color="auto" w:fill="auto"/>
            <w:vAlign w:val="center"/>
          </w:tcPr>
          <w:p w:rsidR="002B7E4F" w:rsidRPr="002B7E4F" w:rsidRDefault="002B7E4F" w:rsidP="002B7E4F">
            <w:pPr>
              <w:ind w:left="360"/>
              <w:jc w:val="both"/>
              <w:rPr>
                <w:rFonts w:ascii="Arial" w:hAnsi="Arial" w:cs="Arial"/>
                <w:sz w:val="22"/>
                <w:szCs w:val="22"/>
              </w:rPr>
            </w:pPr>
            <w:r w:rsidRPr="002B7E4F">
              <w:rPr>
                <w:rFonts w:ascii="Arial" w:hAnsi="Arial" w:cs="Arial"/>
                <w:sz w:val="22"/>
                <w:szCs w:val="22"/>
              </w:rPr>
              <w:t>E90</w:t>
            </w:r>
          </w:p>
        </w:tc>
      </w:tr>
      <w:tr w:rsidR="002B7E4F" w:rsidRPr="002B7E4F" w:rsidTr="002B7E4F">
        <w:trPr>
          <w:jc w:val="center"/>
        </w:trPr>
        <w:tc>
          <w:tcPr>
            <w:tcW w:w="4229"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Resistencia a la Corrosión (UNE-EN 61537)</w:t>
            </w:r>
          </w:p>
        </w:tc>
        <w:tc>
          <w:tcPr>
            <w:tcW w:w="4878" w:type="dxa"/>
            <w:shd w:val="clear" w:color="auto" w:fill="auto"/>
            <w:vAlign w:val="center"/>
          </w:tcPr>
          <w:p w:rsidR="002B7E4F" w:rsidRPr="002B7E4F" w:rsidRDefault="002B7E4F" w:rsidP="002B7E4F">
            <w:pPr>
              <w:ind w:left="360"/>
              <w:jc w:val="both"/>
              <w:rPr>
                <w:rFonts w:ascii="Arial" w:hAnsi="Arial" w:cs="Arial"/>
                <w:sz w:val="22"/>
                <w:szCs w:val="22"/>
              </w:rPr>
            </w:pPr>
            <w:r w:rsidRPr="002B7E4F">
              <w:rPr>
                <w:rFonts w:ascii="Arial" w:hAnsi="Arial" w:cs="Arial"/>
                <w:sz w:val="22"/>
                <w:szCs w:val="22"/>
              </w:rPr>
              <w:t>Clase 7, 660 horas de resistencia</w:t>
            </w:r>
          </w:p>
        </w:tc>
      </w:tr>
      <w:tr w:rsidR="002B7E4F" w:rsidRPr="002B7E4F" w:rsidTr="002B7E4F">
        <w:trPr>
          <w:jc w:val="center"/>
        </w:trPr>
        <w:tc>
          <w:tcPr>
            <w:tcW w:w="4229"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Clasificación no combustible</w:t>
            </w:r>
          </w:p>
        </w:tc>
        <w:tc>
          <w:tcPr>
            <w:tcW w:w="4878" w:type="dxa"/>
            <w:shd w:val="clear" w:color="auto" w:fill="auto"/>
            <w:vAlign w:val="center"/>
          </w:tcPr>
          <w:p w:rsidR="002B7E4F" w:rsidRPr="002B7E4F" w:rsidRDefault="002B7E4F" w:rsidP="002B7E4F">
            <w:pPr>
              <w:ind w:left="360"/>
              <w:jc w:val="both"/>
              <w:rPr>
                <w:rFonts w:ascii="Arial" w:hAnsi="Arial" w:cs="Arial"/>
                <w:sz w:val="22"/>
                <w:szCs w:val="22"/>
              </w:rPr>
            </w:pPr>
            <w:r w:rsidRPr="002B7E4F">
              <w:rPr>
                <w:rFonts w:ascii="Arial" w:hAnsi="Arial" w:cs="Arial"/>
                <w:sz w:val="22"/>
                <w:szCs w:val="22"/>
              </w:rPr>
              <w:t>M 0 / A1</w:t>
            </w:r>
          </w:p>
        </w:tc>
      </w:tr>
      <w:tr w:rsidR="002B7E4F" w:rsidRPr="002B7E4F" w:rsidTr="002B7E4F">
        <w:trPr>
          <w:jc w:val="center"/>
        </w:trPr>
        <w:tc>
          <w:tcPr>
            <w:tcW w:w="4229"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Espesor</w:t>
            </w:r>
          </w:p>
        </w:tc>
        <w:tc>
          <w:tcPr>
            <w:tcW w:w="4878" w:type="dxa"/>
            <w:shd w:val="clear" w:color="auto" w:fill="auto"/>
            <w:vAlign w:val="center"/>
          </w:tcPr>
          <w:p w:rsidR="002B7E4F" w:rsidRPr="002B7E4F" w:rsidRDefault="002B7E4F" w:rsidP="002B7E4F">
            <w:pPr>
              <w:ind w:left="360"/>
              <w:jc w:val="both"/>
              <w:rPr>
                <w:rFonts w:ascii="Arial" w:hAnsi="Arial" w:cs="Arial"/>
                <w:sz w:val="22"/>
                <w:szCs w:val="22"/>
              </w:rPr>
            </w:pPr>
            <w:r w:rsidRPr="002B7E4F">
              <w:rPr>
                <w:rFonts w:ascii="Arial" w:hAnsi="Arial" w:cs="Arial"/>
                <w:sz w:val="22"/>
                <w:szCs w:val="22"/>
              </w:rPr>
              <w:t>&gt; 0,8 mm</w:t>
            </w:r>
          </w:p>
        </w:tc>
      </w:tr>
      <w:tr w:rsidR="002B7E4F" w:rsidRPr="002B7E4F" w:rsidTr="002B7E4F">
        <w:trPr>
          <w:jc w:val="center"/>
        </w:trPr>
        <w:tc>
          <w:tcPr>
            <w:tcW w:w="4229"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Tapa</w:t>
            </w:r>
          </w:p>
        </w:tc>
        <w:tc>
          <w:tcPr>
            <w:tcW w:w="4878" w:type="dxa"/>
            <w:shd w:val="clear" w:color="auto" w:fill="auto"/>
            <w:vAlign w:val="center"/>
          </w:tcPr>
          <w:p w:rsidR="002B7E4F" w:rsidRPr="002B7E4F" w:rsidRDefault="002B7E4F" w:rsidP="002B7E4F">
            <w:pPr>
              <w:ind w:left="360"/>
              <w:jc w:val="both"/>
              <w:rPr>
                <w:rFonts w:ascii="Arial" w:hAnsi="Arial" w:cs="Arial"/>
                <w:sz w:val="22"/>
                <w:szCs w:val="22"/>
              </w:rPr>
            </w:pPr>
            <w:r w:rsidRPr="002B7E4F">
              <w:rPr>
                <w:rFonts w:ascii="Arial" w:hAnsi="Arial" w:cs="Arial"/>
                <w:sz w:val="22"/>
                <w:szCs w:val="22"/>
              </w:rPr>
              <w:t>Si</w:t>
            </w:r>
          </w:p>
        </w:tc>
      </w:tr>
    </w:tbl>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incluyen los soportes a pared, elementos de interconexión de tramos y giros, elementos de fijación de cableado (bridas) y componentes de puesta a tierra.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charolas de deberán formar una estructura rígida, uniforme y continua, libre de filos cortantes, aristas pronunciadas y cualquier clase de bordes con el fin de proporcionar un soporte adecuado para el cableado.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tuercas, pernos, tornillos y demás accesorios fabricados en acero al carbón deberán protegerse contra la corrosión mediante el galvanizado por inmersión en caliente o </w:t>
      </w:r>
      <w:proofErr w:type="spellStart"/>
      <w:r w:rsidRPr="002B7E4F">
        <w:rPr>
          <w:rFonts w:ascii="Arial" w:hAnsi="Arial" w:cs="Arial"/>
          <w:sz w:val="22"/>
          <w:szCs w:val="22"/>
        </w:rPr>
        <w:t>cadminizado</w:t>
      </w:r>
      <w:proofErr w:type="spellEnd"/>
      <w:r w:rsidRPr="002B7E4F">
        <w:rPr>
          <w:rFonts w:ascii="Arial" w:hAnsi="Arial" w:cs="Arial"/>
          <w:sz w:val="22"/>
          <w:szCs w:val="22"/>
        </w:rPr>
        <w:t>, cumpliendo con lo indicado en la Norma NMX-H-004-SCFI-2008.</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tornillos deben carecer de bordes cortantes al interior de la charola de aluminio para cables.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accesorios de montaje deben proporcionar el sustento necesario para las charolas para cables, previendo las condiciones de operación.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Todas las canalizaciones deben estar libres de aristas cortantes y cuerpos extraños en su interior antes de proceder a su cableado.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cajas deben construirse de lámina n° 18 o más gruesas y de las dimensiones adecuadas a las tuberías y a las conexiones que tienen que contener.</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cajas normales deben instalarse con sus tapas  y tanto caja como tapas deben ser de lámina reforzada troqueladas y galvanizadas.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cajas para las salidas en las zonas de instalación aparente deben ser </w:t>
      </w:r>
      <w:proofErr w:type="spellStart"/>
      <w:r w:rsidRPr="002B7E4F">
        <w:rPr>
          <w:rFonts w:ascii="Arial" w:hAnsi="Arial" w:cs="Arial"/>
          <w:sz w:val="22"/>
          <w:szCs w:val="22"/>
        </w:rPr>
        <w:t>condulet</w:t>
      </w:r>
      <w:proofErr w:type="spellEnd"/>
      <w:r w:rsidRPr="002B7E4F">
        <w:rPr>
          <w:rFonts w:ascii="Arial" w:hAnsi="Arial" w:cs="Arial"/>
          <w:sz w:val="22"/>
          <w:szCs w:val="22"/>
        </w:rPr>
        <w:t xml:space="preserve"> tipo ovalado o rectangular con tapa y empaque de neopreno de acuerdo a la medida de la caja.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Será de obligado cumplimiento la siguiente normativa: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NMX-J-535-ANCE-2008</w:t>
      </w:r>
      <w:r w:rsidRPr="002B7E4F">
        <w:rPr>
          <w:rFonts w:ascii="Arial" w:hAnsi="Arial" w:cs="Arial"/>
          <w:sz w:val="22"/>
          <w:szCs w:val="22"/>
        </w:rPr>
        <w:tab/>
        <w:t>Tubos rígidos de acero tipo semipesado y sus accesorios para la protección de conductores, especificaciones y métodos de prueba. (Cancela a la NMX-J-535-ANCE-2001 Y NMX-B-209-1990)</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NMX-B-209-1995</w:t>
      </w:r>
      <w:r w:rsidRPr="002B7E4F">
        <w:rPr>
          <w:rFonts w:ascii="Arial" w:hAnsi="Arial" w:cs="Arial"/>
          <w:sz w:val="22"/>
          <w:szCs w:val="22"/>
        </w:rPr>
        <w:tab/>
      </w:r>
      <w:proofErr w:type="spellStart"/>
      <w:r w:rsidRPr="002B7E4F">
        <w:rPr>
          <w:rFonts w:ascii="Arial" w:hAnsi="Arial" w:cs="Arial"/>
          <w:sz w:val="22"/>
          <w:szCs w:val="22"/>
        </w:rPr>
        <w:t>Coples</w:t>
      </w:r>
      <w:proofErr w:type="spellEnd"/>
      <w:r w:rsidRPr="002B7E4F">
        <w:rPr>
          <w:rFonts w:ascii="Arial" w:hAnsi="Arial" w:cs="Arial"/>
          <w:sz w:val="22"/>
          <w:szCs w:val="22"/>
        </w:rPr>
        <w:t xml:space="preserve"> roscado para tubería </w:t>
      </w:r>
      <w:proofErr w:type="spellStart"/>
      <w:r w:rsidRPr="002B7E4F">
        <w:rPr>
          <w:rFonts w:ascii="Arial" w:hAnsi="Arial" w:cs="Arial"/>
          <w:sz w:val="22"/>
          <w:szCs w:val="22"/>
        </w:rPr>
        <w:t>conduit</w:t>
      </w:r>
      <w:proofErr w:type="spellEnd"/>
      <w:r w:rsidRPr="002B7E4F">
        <w:rPr>
          <w:rFonts w:ascii="Arial" w:hAnsi="Arial" w:cs="Arial"/>
          <w:sz w:val="22"/>
          <w:szCs w:val="22"/>
        </w:rPr>
        <w:t xml:space="preserve"> tipo semipesado.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lastRenderedPageBreak/>
        <w:t>NMX-H-004-SCFI-2008</w:t>
      </w:r>
      <w:r w:rsidRPr="002B7E4F">
        <w:rPr>
          <w:rFonts w:ascii="Arial" w:hAnsi="Arial" w:cs="Arial"/>
          <w:sz w:val="22"/>
          <w:szCs w:val="22"/>
        </w:rPr>
        <w:tab/>
        <w:t xml:space="preserve">Industria Siderúrgica - Productos de Hierro y Acero, Recubiertos con Cinc (Galvanizados por inmersión en caliente)- Especificaciones y </w:t>
      </w:r>
      <w:proofErr w:type="spellStart"/>
      <w:r w:rsidRPr="002B7E4F">
        <w:rPr>
          <w:rFonts w:ascii="Arial" w:hAnsi="Arial" w:cs="Arial"/>
          <w:sz w:val="22"/>
          <w:szCs w:val="22"/>
        </w:rPr>
        <w:t>Metodos</w:t>
      </w:r>
      <w:proofErr w:type="spellEnd"/>
      <w:r w:rsidRPr="002B7E4F">
        <w:rPr>
          <w:rFonts w:ascii="Arial" w:hAnsi="Arial" w:cs="Arial"/>
          <w:sz w:val="22"/>
          <w:szCs w:val="22"/>
        </w:rPr>
        <w:t xml:space="preserve"> de Prueba.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NMX-J-511-ANCE-1999: </w:t>
      </w:r>
      <w:r w:rsidRPr="002B7E4F">
        <w:rPr>
          <w:rFonts w:ascii="Arial" w:hAnsi="Arial" w:cs="Arial"/>
          <w:sz w:val="22"/>
          <w:szCs w:val="22"/>
        </w:rPr>
        <w:tab/>
        <w:t>Productos Eléctricos – sistemas de Soportes Metálicos Tipo Charola para Cables – Especificaciones y Métodos de Prueba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lang w:val="en-US"/>
        </w:rPr>
      </w:pPr>
      <w:r w:rsidRPr="002B7E4F">
        <w:rPr>
          <w:rFonts w:ascii="Arial" w:hAnsi="Arial" w:cs="Arial"/>
          <w:sz w:val="22"/>
          <w:szCs w:val="22"/>
          <w:lang w:val="en-US"/>
        </w:rPr>
        <w:t>VE-1-2009 NEMA</w:t>
      </w:r>
      <w:r w:rsidRPr="002B7E4F">
        <w:rPr>
          <w:rFonts w:ascii="Arial" w:hAnsi="Arial" w:cs="Arial"/>
          <w:sz w:val="22"/>
          <w:szCs w:val="22"/>
          <w:lang w:val="en-US"/>
        </w:rPr>
        <w:tab/>
        <w:t xml:space="preserve">Metal Cable Tray Systems </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VE-2-2006 NEMA</w:t>
      </w:r>
      <w:r w:rsidRPr="002B7E4F">
        <w:rPr>
          <w:rFonts w:ascii="Arial" w:hAnsi="Arial" w:cs="Arial"/>
          <w:sz w:val="22"/>
          <w:szCs w:val="22"/>
        </w:rPr>
        <w:tab/>
        <w:t xml:space="preserve">Metal Cable </w:t>
      </w:r>
      <w:proofErr w:type="spellStart"/>
      <w:r w:rsidRPr="002B7E4F">
        <w:rPr>
          <w:rFonts w:ascii="Arial" w:hAnsi="Arial" w:cs="Arial"/>
          <w:sz w:val="22"/>
          <w:szCs w:val="22"/>
        </w:rPr>
        <w:t>Tray</w:t>
      </w:r>
      <w:proofErr w:type="spellEnd"/>
      <w:r w:rsidRPr="002B7E4F">
        <w:rPr>
          <w:rFonts w:ascii="Arial" w:hAnsi="Arial" w:cs="Arial"/>
          <w:sz w:val="22"/>
          <w:szCs w:val="22"/>
        </w:rPr>
        <w:t xml:space="preserve"> </w:t>
      </w:r>
      <w:proofErr w:type="spellStart"/>
      <w:r w:rsidRPr="002B7E4F">
        <w:rPr>
          <w:rFonts w:ascii="Arial" w:hAnsi="Arial" w:cs="Arial"/>
          <w:sz w:val="22"/>
          <w:szCs w:val="22"/>
        </w:rPr>
        <w:t>Installation</w:t>
      </w:r>
      <w:proofErr w:type="spellEnd"/>
      <w:r w:rsidRPr="002B7E4F">
        <w:rPr>
          <w:rFonts w:ascii="Arial" w:hAnsi="Arial" w:cs="Arial"/>
          <w:sz w:val="22"/>
          <w:szCs w:val="22"/>
        </w:rPr>
        <w:t xml:space="preserve"> </w:t>
      </w:r>
      <w:proofErr w:type="spellStart"/>
      <w:r w:rsidRPr="002B7E4F">
        <w:rPr>
          <w:rFonts w:ascii="Arial" w:hAnsi="Arial" w:cs="Arial"/>
          <w:sz w:val="22"/>
          <w:szCs w:val="22"/>
        </w:rPr>
        <w:t>Guidelines</w:t>
      </w:r>
      <w:proofErr w:type="spellEnd"/>
      <w:r w:rsidRPr="002B7E4F">
        <w:rPr>
          <w:rFonts w:ascii="Arial" w:hAnsi="Arial" w:cs="Arial"/>
          <w:sz w:val="22"/>
          <w:szCs w:val="22"/>
        </w:rPr>
        <w:t>.</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lang w:val="en-US"/>
        </w:rPr>
      </w:pPr>
      <w:r w:rsidRPr="002B7E4F">
        <w:rPr>
          <w:rFonts w:ascii="Arial" w:hAnsi="Arial" w:cs="Arial"/>
          <w:sz w:val="22"/>
          <w:szCs w:val="22"/>
          <w:lang w:val="en-US"/>
        </w:rPr>
        <w:t>ASTM-B-209</w:t>
      </w:r>
      <w:r w:rsidRPr="002B7E4F">
        <w:rPr>
          <w:rFonts w:ascii="Arial" w:hAnsi="Arial" w:cs="Arial"/>
          <w:sz w:val="22"/>
          <w:szCs w:val="22"/>
          <w:lang w:val="en-US"/>
        </w:rPr>
        <w:tab/>
        <w:t xml:space="preserve">Standard Specification for </w:t>
      </w:r>
      <w:proofErr w:type="spellStart"/>
      <w:r w:rsidRPr="002B7E4F">
        <w:rPr>
          <w:rFonts w:ascii="Arial" w:hAnsi="Arial" w:cs="Arial"/>
          <w:sz w:val="22"/>
          <w:szCs w:val="22"/>
          <w:lang w:val="en-US"/>
        </w:rPr>
        <w:t>Aluminium</w:t>
      </w:r>
      <w:proofErr w:type="spellEnd"/>
      <w:r w:rsidRPr="002B7E4F">
        <w:rPr>
          <w:rFonts w:ascii="Arial" w:hAnsi="Arial" w:cs="Arial"/>
          <w:sz w:val="22"/>
          <w:szCs w:val="22"/>
          <w:lang w:val="en-US"/>
        </w:rPr>
        <w:t>-Alloy Sheet and Plate.</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lang w:val="en-US"/>
        </w:rPr>
      </w:pPr>
      <w:r w:rsidRPr="002B7E4F">
        <w:rPr>
          <w:rFonts w:ascii="Arial" w:hAnsi="Arial" w:cs="Arial"/>
          <w:sz w:val="22"/>
          <w:szCs w:val="22"/>
          <w:lang w:val="en-US"/>
        </w:rPr>
        <w:t>ASTM-B-221</w:t>
      </w:r>
      <w:r w:rsidRPr="002B7E4F">
        <w:rPr>
          <w:rFonts w:ascii="Arial" w:hAnsi="Arial" w:cs="Arial"/>
          <w:sz w:val="22"/>
          <w:szCs w:val="22"/>
          <w:lang w:val="en-US"/>
        </w:rPr>
        <w:tab/>
        <w:t xml:space="preserve">Standard Specification for Aluminum-Alloy Extruded Bars, Rods wire, Shapes and Tubes </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lang w:val="en-US"/>
        </w:rPr>
        <w:t>ASTM-A-366/A 366M</w:t>
      </w:r>
      <w:r w:rsidRPr="002B7E4F">
        <w:rPr>
          <w:rFonts w:ascii="Arial" w:hAnsi="Arial" w:cs="Arial"/>
          <w:sz w:val="22"/>
          <w:szCs w:val="22"/>
          <w:lang w:val="en-US"/>
        </w:rPr>
        <w:tab/>
        <w:t xml:space="preserve">Standard Specification for Commercial Steel (CS) Sheet, </w:t>
      </w:r>
      <w:proofErr w:type="spellStart"/>
      <w:r w:rsidRPr="002B7E4F">
        <w:rPr>
          <w:rFonts w:ascii="Arial" w:hAnsi="Arial" w:cs="Arial"/>
          <w:sz w:val="22"/>
          <w:szCs w:val="22"/>
          <w:lang w:val="en-US"/>
        </w:rPr>
        <w:t>Carbón</w:t>
      </w:r>
      <w:proofErr w:type="spellEnd"/>
      <w:r w:rsidRPr="002B7E4F">
        <w:rPr>
          <w:rFonts w:ascii="Arial" w:hAnsi="Arial" w:cs="Arial"/>
          <w:sz w:val="22"/>
          <w:szCs w:val="22"/>
          <w:lang w:val="en-US"/>
        </w:rPr>
        <w:t xml:space="preserve">. </w:t>
      </w:r>
      <w:r w:rsidRPr="002B7E4F">
        <w:rPr>
          <w:rFonts w:ascii="Arial" w:hAnsi="Arial" w:cs="Arial"/>
          <w:sz w:val="22"/>
          <w:szCs w:val="22"/>
        </w:rPr>
        <w:t xml:space="preserve">(0.15 </w:t>
      </w:r>
      <w:proofErr w:type="spellStart"/>
      <w:r w:rsidRPr="002B7E4F">
        <w:rPr>
          <w:rFonts w:ascii="Arial" w:hAnsi="Arial" w:cs="Arial"/>
          <w:sz w:val="22"/>
          <w:szCs w:val="22"/>
        </w:rPr>
        <w:t>Maximum</w:t>
      </w:r>
      <w:proofErr w:type="spellEnd"/>
      <w:r w:rsidRPr="002B7E4F">
        <w:rPr>
          <w:rFonts w:ascii="Arial" w:hAnsi="Arial" w:cs="Arial"/>
          <w:sz w:val="22"/>
          <w:szCs w:val="22"/>
        </w:rPr>
        <w:t xml:space="preserve"> </w:t>
      </w:r>
      <w:proofErr w:type="spellStart"/>
      <w:r w:rsidRPr="002B7E4F">
        <w:rPr>
          <w:rFonts w:ascii="Arial" w:hAnsi="Arial" w:cs="Arial"/>
          <w:sz w:val="22"/>
          <w:szCs w:val="22"/>
        </w:rPr>
        <w:t>Percent</w:t>
      </w:r>
      <w:proofErr w:type="spellEnd"/>
      <w:r w:rsidRPr="002B7E4F">
        <w:rPr>
          <w:rFonts w:ascii="Arial" w:hAnsi="Arial" w:cs="Arial"/>
          <w:sz w:val="22"/>
          <w:szCs w:val="22"/>
        </w:rPr>
        <w:t xml:space="preserve">) </w:t>
      </w:r>
      <w:proofErr w:type="spellStart"/>
      <w:r w:rsidRPr="002B7E4F">
        <w:rPr>
          <w:rFonts w:ascii="Arial" w:hAnsi="Arial" w:cs="Arial"/>
          <w:sz w:val="22"/>
          <w:szCs w:val="22"/>
        </w:rPr>
        <w:t>Cold</w:t>
      </w:r>
      <w:proofErr w:type="spellEnd"/>
      <w:r w:rsidRPr="002B7E4F">
        <w:rPr>
          <w:rFonts w:ascii="Arial" w:hAnsi="Arial" w:cs="Arial"/>
          <w:sz w:val="22"/>
          <w:szCs w:val="22"/>
        </w:rPr>
        <w:t xml:space="preserve"> </w:t>
      </w:r>
      <w:proofErr w:type="spellStart"/>
      <w:r w:rsidRPr="002B7E4F">
        <w:rPr>
          <w:rFonts w:ascii="Arial" w:hAnsi="Arial" w:cs="Arial"/>
          <w:sz w:val="22"/>
          <w:szCs w:val="22"/>
        </w:rPr>
        <w:t>Rolled</w:t>
      </w:r>
      <w:proofErr w:type="spellEnd"/>
      <w:r w:rsidRPr="002B7E4F">
        <w:rPr>
          <w:rFonts w:ascii="Arial" w:hAnsi="Arial" w:cs="Arial"/>
          <w:sz w:val="22"/>
          <w:szCs w:val="22"/>
        </w:rPr>
        <w:t xml:space="preserve"> </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lang w:val="en-US"/>
        </w:rPr>
      </w:pPr>
      <w:r w:rsidRPr="002B7E4F">
        <w:rPr>
          <w:rFonts w:ascii="Arial" w:hAnsi="Arial" w:cs="Arial"/>
          <w:sz w:val="22"/>
          <w:szCs w:val="22"/>
          <w:lang w:val="en-US"/>
        </w:rPr>
        <w:t>ASTM-A-611</w:t>
      </w:r>
      <w:r w:rsidRPr="002B7E4F">
        <w:rPr>
          <w:rFonts w:ascii="Arial" w:hAnsi="Arial" w:cs="Arial"/>
          <w:sz w:val="22"/>
          <w:szCs w:val="22"/>
          <w:lang w:val="en-US"/>
        </w:rPr>
        <w:tab/>
        <w:t xml:space="preserve">Standard </w:t>
      </w:r>
      <w:proofErr w:type="spellStart"/>
      <w:r w:rsidRPr="002B7E4F">
        <w:rPr>
          <w:rFonts w:ascii="Arial" w:hAnsi="Arial" w:cs="Arial"/>
          <w:sz w:val="22"/>
          <w:szCs w:val="22"/>
          <w:lang w:val="en-US"/>
        </w:rPr>
        <w:t>Specificatión</w:t>
      </w:r>
      <w:proofErr w:type="spellEnd"/>
      <w:r w:rsidRPr="002B7E4F">
        <w:rPr>
          <w:rFonts w:ascii="Arial" w:hAnsi="Arial" w:cs="Arial"/>
          <w:sz w:val="22"/>
          <w:szCs w:val="22"/>
          <w:lang w:val="en-US"/>
        </w:rPr>
        <w:t xml:space="preserve"> for Structural Steel (SS), Sheet </w:t>
      </w:r>
      <w:proofErr w:type="spellStart"/>
      <w:r w:rsidRPr="002B7E4F">
        <w:rPr>
          <w:rFonts w:ascii="Arial" w:hAnsi="Arial" w:cs="Arial"/>
          <w:sz w:val="22"/>
          <w:szCs w:val="22"/>
          <w:lang w:val="en-US"/>
        </w:rPr>
        <w:t>Carbón</w:t>
      </w:r>
      <w:proofErr w:type="spellEnd"/>
      <w:r w:rsidRPr="002B7E4F">
        <w:rPr>
          <w:rFonts w:ascii="Arial" w:hAnsi="Arial" w:cs="Arial"/>
          <w:sz w:val="22"/>
          <w:szCs w:val="22"/>
          <w:lang w:val="en-US"/>
        </w:rPr>
        <w:t>, Cold-Rolled.</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lang w:val="en-US"/>
        </w:rPr>
      </w:pPr>
      <w:r w:rsidRPr="002B7E4F">
        <w:rPr>
          <w:rFonts w:ascii="Arial" w:hAnsi="Arial" w:cs="Arial"/>
          <w:sz w:val="22"/>
          <w:szCs w:val="22"/>
          <w:lang w:val="en-US"/>
        </w:rPr>
        <w:t>ASTM-A-101 1/A 1011M</w:t>
      </w:r>
      <w:r w:rsidRPr="002B7E4F">
        <w:rPr>
          <w:rFonts w:ascii="Arial" w:hAnsi="Arial" w:cs="Arial"/>
          <w:sz w:val="22"/>
          <w:szCs w:val="22"/>
          <w:lang w:val="en-US"/>
        </w:rPr>
        <w:tab/>
        <w:t xml:space="preserve">Standard Specification for Steel, sheet and Strip, Hot-Rolled, carbon, Structural, High – </w:t>
      </w:r>
      <w:proofErr w:type="spellStart"/>
      <w:r w:rsidRPr="002B7E4F">
        <w:rPr>
          <w:rFonts w:ascii="Arial" w:hAnsi="Arial" w:cs="Arial"/>
          <w:sz w:val="22"/>
          <w:szCs w:val="22"/>
          <w:lang w:val="en-US"/>
        </w:rPr>
        <w:t>Strenght</w:t>
      </w:r>
      <w:proofErr w:type="spellEnd"/>
      <w:r w:rsidRPr="002B7E4F">
        <w:rPr>
          <w:rFonts w:ascii="Arial" w:hAnsi="Arial" w:cs="Arial"/>
          <w:sz w:val="22"/>
          <w:szCs w:val="22"/>
          <w:lang w:val="en-US"/>
        </w:rPr>
        <w:t xml:space="preserve"> Low-Alloy, High – </w:t>
      </w:r>
      <w:proofErr w:type="spellStart"/>
      <w:r w:rsidRPr="002B7E4F">
        <w:rPr>
          <w:rFonts w:ascii="Arial" w:hAnsi="Arial" w:cs="Arial"/>
          <w:sz w:val="22"/>
          <w:szCs w:val="22"/>
          <w:lang w:val="en-US"/>
        </w:rPr>
        <w:t>Strenght</w:t>
      </w:r>
      <w:proofErr w:type="spellEnd"/>
      <w:r w:rsidRPr="002B7E4F">
        <w:rPr>
          <w:rFonts w:ascii="Arial" w:hAnsi="Arial" w:cs="Arial"/>
          <w:sz w:val="22"/>
          <w:szCs w:val="22"/>
          <w:lang w:val="en-US"/>
        </w:rPr>
        <w:t xml:space="preserve"> Low-Alloy with Improved Formability, and Ultra High Strength.</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lang w:val="en-US"/>
        </w:rPr>
      </w:pPr>
      <w:r w:rsidRPr="002B7E4F">
        <w:rPr>
          <w:rFonts w:ascii="Arial" w:hAnsi="Arial" w:cs="Arial"/>
          <w:sz w:val="22"/>
          <w:szCs w:val="22"/>
          <w:lang w:val="en-US"/>
        </w:rPr>
        <w:t>ASTM E289 – 04</w:t>
      </w:r>
      <w:r w:rsidRPr="002B7E4F">
        <w:rPr>
          <w:rFonts w:ascii="Arial" w:hAnsi="Arial" w:cs="Arial"/>
          <w:sz w:val="22"/>
          <w:szCs w:val="22"/>
          <w:lang w:val="en-US"/>
        </w:rPr>
        <w:tab/>
        <w:t xml:space="preserve">Standard Test Method for linear </w:t>
      </w:r>
      <w:proofErr w:type="spellStart"/>
      <w:r w:rsidRPr="002B7E4F">
        <w:rPr>
          <w:rFonts w:ascii="Arial" w:hAnsi="Arial" w:cs="Arial"/>
          <w:sz w:val="22"/>
          <w:szCs w:val="22"/>
          <w:lang w:val="en-US"/>
        </w:rPr>
        <w:t>termal</w:t>
      </w:r>
      <w:proofErr w:type="spellEnd"/>
      <w:r w:rsidRPr="002B7E4F">
        <w:rPr>
          <w:rFonts w:ascii="Arial" w:hAnsi="Arial" w:cs="Arial"/>
          <w:sz w:val="22"/>
          <w:szCs w:val="22"/>
          <w:lang w:val="en-US"/>
        </w:rPr>
        <w:t xml:space="preserve"> </w:t>
      </w:r>
      <w:proofErr w:type="spellStart"/>
      <w:r w:rsidRPr="002B7E4F">
        <w:rPr>
          <w:rFonts w:ascii="Arial" w:hAnsi="Arial" w:cs="Arial"/>
          <w:sz w:val="22"/>
          <w:szCs w:val="22"/>
          <w:lang w:val="en-US"/>
        </w:rPr>
        <w:t>Expansión</w:t>
      </w:r>
      <w:proofErr w:type="spellEnd"/>
      <w:r w:rsidRPr="002B7E4F">
        <w:rPr>
          <w:rFonts w:ascii="Arial" w:hAnsi="Arial" w:cs="Arial"/>
          <w:sz w:val="22"/>
          <w:szCs w:val="22"/>
          <w:lang w:val="en-US"/>
        </w:rPr>
        <w:t xml:space="preserve"> of Rigid Solids with interferometry </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NOM-00-SEDE-2012 </w:t>
      </w:r>
      <w:r w:rsidRPr="002B7E4F">
        <w:rPr>
          <w:rFonts w:ascii="Arial" w:hAnsi="Arial" w:cs="Arial"/>
          <w:sz w:val="22"/>
          <w:szCs w:val="22"/>
        </w:rPr>
        <w:tab/>
        <w:t>Norma Oficial Mexicana, Instalaciones Eléctricas (Utilización).</w:t>
      </w:r>
    </w:p>
    <w:p w:rsidR="002B7E4F" w:rsidRPr="002B7E4F" w:rsidRDefault="002B7E4F" w:rsidP="00462F48">
      <w:pPr>
        <w:pStyle w:val="TITULO-3"/>
        <w:numPr>
          <w:ilvl w:val="2"/>
          <w:numId w:val="51"/>
        </w:numPr>
        <w:rPr>
          <w:rFonts w:ascii="Arial" w:hAnsi="Arial" w:cs="Arial"/>
          <w:b/>
          <w:sz w:val="22"/>
          <w:szCs w:val="22"/>
        </w:rPr>
      </w:pPr>
      <w:bookmarkStart w:id="2" w:name="_Toc368069932"/>
      <w:r w:rsidRPr="002B7E4F">
        <w:rPr>
          <w:rFonts w:ascii="Arial" w:hAnsi="Arial" w:cs="Arial"/>
          <w:b/>
          <w:sz w:val="22"/>
          <w:szCs w:val="22"/>
        </w:rPr>
        <w:t>Ejecución de Obra</w:t>
      </w:r>
      <w:bookmarkEnd w:id="2"/>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Dependiendo del uso y lugar donde debe instalarse, las canalizaciones podrán ser:</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Charola metálica tipo rejilla. En salas técnicas y zonas de uso exclusivo por operarios.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Charola metálica tipo ciega. En lugares donde pueda acceder el público </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Tuberías de pared gruesa. Derivaciones y canalización final a los diferentes receptores.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Se deben presentar los planos constructivos, debidamente acotados incluyendo el dimensionado de las diferentes canalizaciones </w:t>
      </w:r>
      <w:proofErr w:type="spellStart"/>
      <w:r w:rsidRPr="002B7E4F">
        <w:rPr>
          <w:rFonts w:ascii="Arial" w:hAnsi="Arial" w:cs="Arial"/>
          <w:sz w:val="22"/>
          <w:szCs w:val="22"/>
        </w:rPr>
        <w:t>portacables</w:t>
      </w:r>
      <w:proofErr w:type="spellEnd"/>
      <w:r w:rsidRPr="002B7E4F">
        <w:rPr>
          <w:rFonts w:ascii="Arial" w:hAnsi="Arial" w:cs="Arial"/>
          <w:sz w:val="22"/>
          <w:szCs w:val="22"/>
        </w:rPr>
        <w:t xml:space="preserve">, charolas y tuberías, así como </w:t>
      </w:r>
      <w:r w:rsidRPr="002B7E4F">
        <w:rPr>
          <w:rFonts w:ascii="Arial" w:hAnsi="Arial" w:cs="Arial"/>
          <w:sz w:val="22"/>
          <w:szCs w:val="22"/>
        </w:rPr>
        <w:lastRenderedPageBreak/>
        <w:t>los elementos de soporte y sujeción. Para determinar tanto las dimensiones de las canalizaciones como sus soportes, se deberá considerar los cables que transcurrirán en su interior así como la carga de trabajo admisible soportada por dichas canalizaciones.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sistema de trabajo y programa de ejecución debe coordinarse y aprobarse por la dirección de la obra, de forma que no interfiera con la realización de trabajos ejecutados por otros instaladores.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posición exacta de las trayectorias de charolas y tuberías, deben fijarse en coordinación con la dirección de la obra.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Cuando no exista información suficiente para la realización de la instalación, esta información debe elaborarse en coordinación con la dirección de obra.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charolas, así como sus accesorios, deben soportar las cargas dinámicas, cargas muertas y cargas vivas. La carga total no debe causar una deflexión o flecha de la charola que exceda de 1/35 de la longitud del claro de diseño. En coordinación con el fabricante de la charola, se definirá la distancia de separación entre juntas de expansión en trayectorias rectas, para absorber la contracción y dilatación por temperatura de las charolas de aluminio para cables. Ligado con esta junta de expansión se debe instalar un puente unión, para garantizar la continuidad eléctrica de las charolas de para cables.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tuberías deberán soportarse o fijarse firmemente cuando menos a cada 1.5 m y a no más de 90 cm de cada caja, gabinete o accesorios con soporte adecuados al tipo de canalización.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tuberías y ductos tendrán una sección adecuada para alojar conductores en base al Artículo 342 de la NOM-SEDE 2012 donde se considera el área de ocupación: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Para 1 conductor el 53 % de ocupación de su sección transversal.</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Para 2 conductores el 31% de ocupación de su sección transversal.</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Para más de 2 conductores el 40% de ocupación de su sección transversal.</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charolas y tuberías serán instaladas bajo suelo técnico, en pared o sobre falso techo haciendo uso de los soportes correspondientes.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tramos de charolas deben ser lineales, no se aceptarán tramos visiblemente torcidos o con flechas horizontales y verticales superiores de las tolerables. Igualmente, no se aceptarán tuberías torcidas o con defectos visibles.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Se tendrá especial atención a la hora de instalar las canalizaciones </w:t>
      </w:r>
      <w:proofErr w:type="spellStart"/>
      <w:r w:rsidRPr="002B7E4F">
        <w:rPr>
          <w:rFonts w:ascii="Arial" w:hAnsi="Arial" w:cs="Arial"/>
          <w:sz w:val="22"/>
          <w:szCs w:val="22"/>
        </w:rPr>
        <w:t>portacables</w:t>
      </w:r>
      <w:proofErr w:type="spellEnd"/>
      <w:r w:rsidRPr="002B7E4F">
        <w:rPr>
          <w:rFonts w:ascii="Arial" w:hAnsi="Arial" w:cs="Arial"/>
          <w:sz w:val="22"/>
          <w:szCs w:val="22"/>
        </w:rPr>
        <w:t xml:space="preserve"> para garantizar los radios de curvatura del cableado así como asegurar las distancias mínimas y máximas recogidas en la Norma NOM-001-SEDE-2012 para el cruce de canalizaciones y el tendido en paralelo.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Para determinar las distancias mínimas entre las diferentes canalizaciones que transcurran en paralelo se deberá tener en cuenta la Compatibilidad Electromagnética (CEM), teniendo en cuenta el tipo de cable que habrá en su interior.</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trayectorias indicadas en los planos deberán de respetarse en la medida de lo posible, en caso de no poder seguir una dirección por cualquier motivo, se debe coordinar con la dirección de la obra el nuevo recorrido, permitiéndose modificar la trayectoria dentro de lo tolerable por variaciones o imprecisiones a detalle en el dibujo de los planos.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canalizaciones deben instalarse de una manera ordenada de tal forma que resulte un mínimo de cruces. Las canalizaciones deben arreglarse en armonía con las líneas de la estructura del edificio, instalados en líneas rectas, ya sea paralelas o en ángulos rectos con las trabes y columnas estructurales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deberá garantizar la total continuidad eléctrica en todos los tramos de canalización, asegurando así su correcta puesta a tierra y evitando posibles riesgos de accidente eléctrico. Por ello se proporcionarán todos los elementos de puesta a tierra (cable de cobre, tornillos de conexión, etc…) que sean precisos.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tendido del cableado en las charolas se realizará de forma organizada, garantizando el correcto peinado del cableado y aprovechando al máximo la superficie de las bandejas. En los tramos verticales el cableado será sujetado a la bandeja mediante el uso de bridas, evitando ejercer presiones excesivas que puedan conllevar problemas en la transmisión de las señales eléctricas.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En todas las derivaciones se deberán instalar cajas.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identificará puntualmente, en especial en cruces, el objeto de la bandeja (servicio al cual sirve) mediante el uso de placas identificativas.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charolas para cables y tuberías de pared gruesa, deben de estar separadas de otras instalaciones como; agua, drenajes etc.  En cualquier caso, las charolas siempre se deberán instalar sobre cualquier ducto que contenga líquido o pueda condensar.</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No se debe permitir que la </w:t>
      </w:r>
      <w:proofErr w:type="spellStart"/>
      <w:r w:rsidRPr="002B7E4F">
        <w:rPr>
          <w:rFonts w:ascii="Arial" w:hAnsi="Arial" w:cs="Arial"/>
          <w:sz w:val="22"/>
          <w:szCs w:val="22"/>
        </w:rPr>
        <w:t>soportería</w:t>
      </w:r>
      <w:proofErr w:type="spellEnd"/>
      <w:r w:rsidRPr="002B7E4F">
        <w:rPr>
          <w:rFonts w:ascii="Arial" w:hAnsi="Arial" w:cs="Arial"/>
          <w:sz w:val="22"/>
          <w:szCs w:val="22"/>
        </w:rPr>
        <w:t xml:space="preserve"> utilizada para las canalizaciones sea utilizada por otras instalaciones, así mismo tampoco se deben colocar los alimentadores eléctricos en soportes o elementos de otras especialidades.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instalador de la charola y tubería, tiene la obligación de utilizar la herramienta adecuada completa para ejecutar el armado y fabricación de las redes de canalizaciones.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concepto incluye toda la obra civil necesaria para la correcta instalación de todas las canalizaciones y sus elementos auxiliares.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51"/>
        </w:numPr>
        <w:rPr>
          <w:rFonts w:ascii="Arial" w:hAnsi="Arial" w:cs="Arial"/>
          <w:b/>
          <w:sz w:val="22"/>
          <w:szCs w:val="22"/>
        </w:rPr>
      </w:pPr>
      <w:bookmarkStart w:id="3" w:name="_Toc368069933"/>
      <w:r w:rsidRPr="002B7E4F">
        <w:rPr>
          <w:rFonts w:ascii="Arial" w:hAnsi="Arial" w:cs="Arial"/>
          <w:b/>
          <w:sz w:val="22"/>
          <w:szCs w:val="22"/>
        </w:rPr>
        <w:lastRenderedPageBreak/>
        <w:t>Medición</w:t>
      </w:r>
      <w:bookmarkEnd w:id="3"/>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medición se realizará por lote y de acuerdo con las descripciones detalladas y reflejadas en este documento.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51"/>
        </w:numPr>
        <w:rPr>
          <w:rFonts w:ascii="Arial" w:hAnsi="Arial" w:cs="Arial"/>
          <w:b/>
          <w:sz w:val="22"/>
          <w:szCs w:val="22"/>
        </w:rPr>
      </w:pPr>
      <w:bookmarkStart w:id="4" w:name="_Toc368069934"/>
      <w:r w:rsidRPr="002B7E4F">
        <w:rPr>
          <w:rFonts w:ascii="Arial" w:hAnsi="Arial" w:cs="Arial"/>
          <w:b/>
          <w:sz w:val="22"/>
          <w:szCs w:val="22"/>
        </w:rPr>
        <w:t>Pruebas y Ensayo</w:t>
      </w:r>
      <w:bookmarkEnd w:id="4"/>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pruebas y ensayos se realizarán según el protocolo de pruebas propuesto por el Contratista y aprobado por la DO.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alcance de los protocolos y ensayos de prueba incluye: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FAT</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SAT, englobadas en pruebas verticales o del propio subsistema y pruebas transversales o con otros sistemas con los cuales tiene interface.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considerará como conjunto de pruebas los siguientes conceptos: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materiales.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la instalación.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funcionalidades del sistema.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requerimientos técnicos.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redundancias y alta disponibilidad</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documental y captación de certificados y licencias software.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A modo orientativo y no limitativo, se deberá proceder a la realización del siguiente tipo de pruebas y ensayos: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Tuberías de pared gruesa galvanizada para cables</w:t>
      </w: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ab/>
        <w:t>Se deberán hacer las pruebas siguientes, de acuerdo a la Norma NMX-J-535-ANCE-2008:</w:t>
      </w:r>
    </w:p>
    <w:p w:rsidR="002B7E4F" w:rsidRPr="002B7E4F" w:rsidRDefault="002B7E4F" w:rsidP="002B7E4F">
      <w:pPr>
        <w:tabs>
          <w:tab w:val="left" w:pos="426"/>
        </w:tabs>
        <w:ind w:left="426"/>
        <w:jc w:val="both"/>
        <w:rPr>
          <w:rFonts w:ascii="Arial" w:hAnsi="Arial" w:cs="Arial"/>
          <w:sz w:val="22"/>
          <w:szCs w:val="22"/>
        </w:rPr>
      </w:pPr>
      <w:r w:rsidRPr="002B7E4F">
        <w:rPr>
          <w:rFonts w:ascii="Arial" w:hAnsi="Arial" w:cs="Arial"/>
          <w:sz w:val="22"/>
          <w:szCs w:val="22"/>
        </w:rPr>
        <w:t>Cada tramo recto debe marcarse visible, permanente y legible con la siguiente información:</w:t>
      </w:r>
    </w:p>
    <w:p w:rsidR="002B7E4F" w:rsidRPr="002B7E4F" w:rsidRDefault="002B7E4F" w:rsidP="002B7E4F">
      <w:pPr>
        <w:tabs>
          <w:tab w:val="left" w:pos="426"/>
        </w:tabs>
        <w:ind w:left="426"/>
        <w:jc w:val="both"/>
        <w:rPr>
          <w:rFonts w:ascii="Arial" w:hAnsi="Arial" w:cs="Arial"/>
          <w:sz w:val="22"/>
          <w:szCs w:val="22"/>
        </w:rPr>
      </w:pPr>
    </w:p>
    <w:p w:rsidR="002B7E4F" w:rsidRPr="002B7E4F" w:rsidRDefault="002B7E4F" w:rsidP="00462F48">
      <w:pPr>
        <w:numPr>
          <w:ilvl w:val="1"/>
          <w:numId w:val="42"/>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Nombre o logotipo del fabricante.</w:t>
      </w:r>
    </w:p>
    <w:p w:rsidR="002B7E4F" w:rsidRPr="002B7E4F" w:rsidRDefault="002B7E4F" w:rsidP="00462F48">
      <w:pPr>
        <w:numPr>
          <w:ilvl w:val="1"/>
          <w:numId w:val="42"/>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ab/>
        <w:t>Clasificación</w:t>
      </w:r>
    </w:p>
    <w:p w:rsidR="002B7E4F" w:rsidRPr="002B7E4F" w:rsidRDefault="002B7E4F" w:rsidP="00462F48">
      <w:pPr>
        <w:numPr>
          <w:ilvl w:val="1"/>
          <w:numId w:val="42"/>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ab/>
        <w:t>Tipo de material y recubrimiento</w:t>
      </w:r>
    </w:p>
    <w:p w:rsidR="002B7E4F" w:rsidRPr="002B7E4F" w:rsidRDefault="002B7E4F" w:rsidP="00462F48">
      <w:pPr>
        <w:numPr>
          <w:ilvl w:val="1"/>
          <w:numId w:val="42"/>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ab/>
        <w:t>Lote</w:t>
      </w:r>
    </w:p>
    <w:p w:rsidR="002B7E4F" w:rsidRPr="002B7E4F" w:rsidRDefault="002B7E4F" w:rsidP="002B7E4F">
      <w:pPr>
        <w:tabs>
          <w:tab w:val="left" w:pos="426"/>
        </w:tabs>
        <w:ind w:left="1080"/>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Charolas metálicas</w:t>
      </w:r>
    </w:p>
    <w:p w:rsidR="002B7E4F" w:rsidRPr="002B7E4F" w:rsidRDefault="002B7E4F" w:rsidP="002B7E4F">
      <w:pPr>
        <w:tabs>
          <w:tab w:val="left" w:pos="426"/>
        </w:tabs>
        <w:ind w:left="720"/>
        <w:jc w:val="both"/>
        <w:rPr>
          <w:rFonts w:ascii="Arial" w:hAnsi="Arial" w:cs="Arial"/>
          <w:sz w:val="22"/>
          <w:szCs w:val="22"/>
        </w:rPr>
      </w:pPr>
      <w:r w:rsidRPr="002B7E4F">
        <w:rPr>
          <w:rFonts w:ascii="Arial" w:hAnsi="Arial" w:cs="Arial"/>
          <w:sz w:val="22"/>
          <w:szCs w:val="22"/>
        </w:rPr>
        <w:t>Se deberán hacer las pruebas siguientes, de acuerdo a la Norma NMX-J-511-ANCE-1999:</w:t>
      </w:r>
    </w:p>
    <w:p w:rsidR="002B7E4F" w:rsidRPr="002B7E4F" w:rsidRDefault="002B7E4F" w:rsidP="002B7E4F">
      <w:pPr>
        <w:tabs>
          <w:tab w:val="left" w:pos="426"/>
        </w:tabs>
        <w:ind w:left="720"/>
        <w:jc w:val="both"/>
        <w:rPr>
          <w:rFonts w:ascii="Arial" w:hAnsi="Arial" w:cs="Arial"/>
          <w:sz w:val="22"/>
          <w:szCs w:val="22"/>
        </w:rPr>
      </w:pPr>
    </w:p>
    <w:p w:rsidR="002B7E4F" w:rsidRPr="002B7E4F" w:rsidRDefault="002B7E4F" w:rsidP="00462F48">
      <w:pPr>
        <w:numPr>
          <w:ilvl w:val="1"/>
          <w:numId w:val="42"/>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Prueba de capacidad de carga destructiva.</w:t>
      </w:r>
    </w:p>
    <w:p w:rsidR="002B7E4F" w:rsidRPr="002B7E4F" w:rsidRDefault="002B7E4F" w:rsidP="00462F48">
      <w:pPr>
        <w:numPr>
          <w:ilvl w:val="1"/>
          <w:numId w:val="42"/>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Prueba de flexión.</w:t>
      </w:r>
    </w:p>
    <w:p w:rsidR="002B7E4F" w:rsidRPr="002B7E4F" w:rsidRDefault="002B7E4F" w:rsidP="00462F48">
      <w:pPr>
        <w:numPr>
          <w:ilvl w:val="1"/>
          <w:numId w:val="42"/>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Prueba de resistencia a la corrosión.</w:t>
      </w:r>
    </w:p>
    <w:p w:rsidR="002B7E4F" w:rsidRPr="002B7E4F" w:rsidRDefault="002B7E4F" w:rsidP="00462F48">
      <w:pPr>
        <w:numPr>
          <w:ilvl w:val="1"/>
          <w:numId w:val="42"/>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Prueba de recubrimientos de tramos rectos, curvas y derivaciones.</w:t>
      </w:r>
    </w:p>
    <w:p w:rsidR="002B7E4F" w:rsidRPr="002B7E4F" w:rsidRDefault="002B7E4F" w:rsidP="00462F48">
      <w:pPr>
        <w:numPr>
          <w:ilvl w:val="1"/>
          <w:numId w:val="42"/>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Prueba de continuidad eléctrica</w:t>
      </w:r>
    </w:p>
    <w:p w:rsidR="002B7E4F" w:rsidRPr="002B7E4F" w:rsidRDefault="002B7E4F" w:rsidP="00462F48">
      <w:pPr>
        <w:numPr>
          <w:ilvl w:val="1"/>
          <w:numId w:val="42"/>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Prueba de resistencia eléctrica.</w:t>
      </w:r>
    </w:p>
    <w:p w:rsidR="002B7E4F" w:rsidRPr="002B7E4F" w:rsidRDefault="002B7E4F" w:rsidP="00462F48">
      <w:pPr>
        <w:numPr>
          <w:ilvl w:val="1"/>
          <w:numId w:val="42"/>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Verificación dimensional.</w:t>
      </w:r>
    </w:p>
    <w:p w:rsidR="002B7E4F" w:rsidRPr="002B7E4F" w:rsidRDefault="002B7E4F" w:rsidP="00462F48">
      <w:pPr>
        <w:numPr>
          <w:ilvl w:val="1"/>
          <w:numId w:val="42"/>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Marcado</w:t>
      </w:r>
    </w:p>
    <w:p w:rsidR="002B7E4F" w:rsidRPr="002B7E4F" w:rsidRDefault="002B7E4F" w:rsidP="002B7E4F">
      <w:pPr>
        <w:tabs>
          <w:tab w:val="left" w:pos="426"/>
        </w:tabs>
        <w:ind w:left="1080"/>
        <w:jc w:val="both"/>
        <w:rPr>
          <w:rFonts w:ascii="Arial" w:hAnsi="Arial" w:cs="Arial"/>
          <w:sz w:val="22"/>
          <w:szCs w:val="22"/>
        </w:rPr>
      </w:pPr>
    </w:p>
    <w:p w:rsidR="002B7E4F" w:rsidRPr="002B7E4F" w:rsidRDefault="002B7E4F" w:rsidP="002B7E4F">
      <w:pPr>
        <w:tabs>
          <w:tab w:val="left" w:pos="426"/>
        </w:tabs>
        <w:ind w:left="720"/>
        <w:jc w:val="both"/>
        <w:rPr>
          <w:rFonts w:ascii="Arial" w:hAnsi="Arial" w:cs="Arial"/>
          <w:sz w:val="22"/>
          <w:szCs w:val="22"/>
        </w:rPr>
      </w:pPr>
      <w:r w:rsidRPr="002B7E4F">
        <w:rPr>
          <w:rFonts w:ascii="Arial" w:hAnsi="Arial" w:cs="Arial"/>
          <w:sz w:val="22"/>
          <w:szCs w:val="22"/>
        </w:rPr>
        <w:t>Cada tramo recto debe estar marcado de forma visible, permanente y legible con la siguiente información:</w:t>
      </w:r>
    </w:p>
    <w:p w:rsidR="002B7E4F" w:rsidRPr="002B7E4F" w:rsidRDefault="002B7E4F" w:rsidP="002B7E4F">
      <w:pPr>
        <w:tabs>
          <w:tab w:val="left" w:pos="426"/>
        </w:tabs>
        <w:ind w:left="720"/>
        <w:jc w:val="both"/>
        <w:rPr>
          <w:rFonts w:ascii="Arial" w:hAnsi="Arial" w:cs="Arial"/>
          <w:sz w:val="22"/>
          <w:szCs w:val="22"/>
        </w:rPr>
      </w:pPr>
    </w:p>
    <w:p w:rsidR="002B7E4F" w:rsidRPr="002B7E4F" w:rsidRDefault="002B7E4F" w:rsidP="00462F48">
      <w:pPr>
        <w:numPr>
          <w:ilvl w:val="1"/>
          <w:numId w:val="42"/>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ab/>
        <w:t>Nombre o logotipo del fabricante.</w:t>
      </w:r>
    </w:p>
    <w:p w:rsidR="002B7E4F" w:rsidRPr="002B7E4F" w:rsidRDefault="002B7E4F" w:rsidP="00462F48">
      <w:pPr>
        <w:numPr>
          <w:ilvl w:val="1"/>
          <w:numId w:val="42"/>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ab/>
        <w:t>Clasificación</w:t>
      </w:r>
    </w:p>
    <w:p w:rsidR="002B7E4F" w:rsidRPr="002B7E4F" w:rsidRDefault="002B7E4F" w:rsidP="00462F48">
      <w:pPr>
        <w:numPr>
          <w:ilvl w:val="1"/>
          <w:numId w:val="42"/>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ab/>
        <w:t>Tipo de material y recubrimiento</w:t>
      </w:r>
    </w:p>
    <w:p w:rsidR="002B7E4F" w:rsidRPr="002B7E4F" w:rsidRDefault="002B7E4F" w:rsidP="00462F48">
      <w:pPr>
        <w:numPr>
          <w:ilvl w:val="1"/>
          <w:numId w:val="42"/>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ab/>
        <w:t>Lote</w:t>
      </w:r>
    </w:p>
    <w:p w:rsidR="002B7E4F" w:rsidRPr="002B7E4F" w:rsidRDefault="002B7E4F" w:rsidP="002B7E4F">
      <w:pPr>
        <w:tabs>
          <w:tab w:val="left" w:pos="426"/>
        </w:tabs>
        <w:ind w:left="1080"/>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Soportes</w:t>
      </w:r>
    </w:p>
    <w:p w:rsidR="002B7E4F" w:rsidRPr="002B7E4F" w:rsidRDefault="002B7E4F" w:rsidP="002B7E4F">
      <w:pPr>
        <w:tabs>
          <w:tab w:val="left" w:pos="426"/>
        </w:tabs>
        <w:ind w:left="720"/>
        <w:jc w:val="both"/>
        <w:rPr>
          <w:rFonts w:ascii="Arial" w:hAnsi="Arial" w:cs="Arial"/>
          <w:sz w:val="22"/>
          <w:szCs w:val="22"/>
        </w:rPr>
      </w:pPr>
      <w:r w:rsidRPr="002B7E4F">
        <w:rPr>
          <w:rFonts w:ascii="Arial" w:hAnsi="Arial" w:cs="Arial"/>
          <w:sz w:val="22"/>
          <w:szCs w:val="22"/>
        </w:rPr>
        <w:t>Se deberán hacer las pruebas siguientes:</w:t>
      </w:r>
    </w:p>
    <w:p w:rsidR="002B7E4F" w:rsidRPr="002B7E4F" w:rsidRDefault="002B7E4F" w:rsidP="002B7E4F">
      <w:pPr>
        <w:tabs>
          <w:tab w:val="left" w:pos="426"/>
        </w:tabs>
        <w:ind w:left="720"/>
        <w:jc w:val="both"/>
        <w:rPr>
          <w:rFonts w:ascii="Arial" w:hAnsi="Arial" w:cs="Arial"/>
          <w:sz w:val="22"/>
          <w:szCs w:val="22"/>
        </w:rPr>
      </w:pPr>
    </w:p>
    <w:p w:rsidR="002B7E4F" w:rsidRPr="002B7E4F" w:rsidRDefault="002B7E4F" w:rsidP="00462F48">
      <w:pPr>
        <w:numPr>
          <w:ilvl w:val="1"/>
          <w:numId w:val="42"/>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ab/>
        <w:t>Prueba de capacidad de carga destructiva.</w:t>
      </w:r>
    </w:p>
    <w:p w:rsidR="002B7E4F" w:rsidRPr="002B7E4F" w:rsidRDefault="002B7E4F" w:rsidP="00462F48">
      <w:pPr>
        <w:numPr>
          <w:ilvl w:val="1"/>
          <w:numId w:val="42"/>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ab/>
        <w:t>Prueba de resistencia a la corrosión.</w:t>
      </w:r>
    </w:p>
    <w:p w:rsidR="002B7E4F" w:rsidRPr="002B7E4F" w:rsidRDefault="002B7E4F" w:rsidP="00462F48">
      <w:pPr>
        <w:numPr>
          <w:ilvl w:val="1"/>
          <w:numId w:val="42"/>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ab/>
        <w:t>Verificación dimensional.</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instalador deberá dar aviso a la dirección de la obra, al término de la instalación de tuberías y/o charolas en cada zona o sección de la obra, para que esta designe a la persona encargada de estar presente en la zona o sección, cuando se efectúen las pruebas correspondientes por realizar de acuerdo a un programa conciliado con anterioridad con la dirección de la obra son: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Inspección visual.</w:t>
      </w:r>
    </w:p>
    <w:p w:rsidR="002B7E4F" w:rsidRPr="002B7E4F" w:rsidRDefault="002B7E4F" w:rsidP="002B7E4F">
      <w:pPr>
        <w:tabs>
          <w:tab w:val="left" w:pos="426"/>
        </w:tabs>
        <w:ind w:left="426"/>
        <w:jc w:val="both"/>
        <w:rPr>
          <w:rFonts w:ascii="Arial" w:hAnsi="Arial" w:cs="Arial"/>
          <w:sz w:val="22"/>
          <w:szCs w:val="22"/>
        </w:rPr>
      </w:pPr>
      <w:r w:rsidRPr="002B7E4F">
        <w:rPr>
          <w:rFonts w:ascii="Arial" w:hAnsi="Arial" w:cs="Arial"/>
          <w:sz w:val="22"/>
          <w:szCs w:val="22"/>
        </w:rPr>
        <w:lastRenderedPageBreak/>
        <w:t>Se someterá a una inspección visual para constatar el acabado y presentación, teniendo especial atención en:</w:t>
      </w:r>
    </w:p>
    <w:p w:rsidR="002B7E4F" w:rsidRPr="002B7E4F" w:rsidRDefault="002B7E4F" w:rsidP="002B7E4F">
      <w:pPr>
        <w:tabs>
          <w:tab w:val="left" w:pos="426"/>
        </w:tabs>
        <w:ind w:left="426"/>
        <w:jc w:val="both"/>
        <w:rPr>
          <w:rFonts w:ascii="Arial" w:hAnsi="Arial" w:cs="Arial"/>
          <w:sz w:val="22"/>
          <w:szCs w:val="22"/>
        </w:rPr>
      </w:pPr>
    </w:p>
    <w:p w:rsidR="002B7E4F" w:rsidRPr="002B7E4F" w:rsidRDefault="002B7E4F" w:rsidP="00462F48">
      <w:pPr>
        <w:numPr>
          <w:ilvl w:val="1"/>
          <w:numId w:val="42"/>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ab/>
        <w:t>Marcado</w:t>
      </w:r>
    </w:p>
    <w:p w:rsidR="002B7E4F" w:rsidRPr="002B7E4F" w:rsidRDefault="002B7E4F" w:rsidP="00462F48">
      <w:pPr>
        <w:numPr>
          <w:ilvl w:val="1"/>
          <w:numId w:val="42"/>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ab/>
        <w:t>Presencia de aristas peligrosas.</w:t>
      </w:r>
    </w:p>
    <w:p w:rsidR="002B7E4F" w:rsidRPr="002B7E4F" w:rsidRDefault="002B7E4F" w:rsidP="00462F48">
      <w:pPr>
        <w:numPr>
          <w:ilvl w:val="1"/>
          <w:numId w:val="42"/>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ab/>
        <w:t>Presencia de deformaciones.</w:t>
      </w:r>
    </w:p>
    <w:p w:rsidR="002B7E4F" w:rsidRPr="002B7E4F" w:rsidRDefault="002B7E4F" w:rsidP="002B7E4F">
      <w:pPr>
        <w:tabs>
          <w:tab w:val="left" w:pos="426"/>
        </w:tabs>
        <w:ind w:left="1080"/>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Verificación Geométrica.</w:t>
      </w:r>
    </w:p>
    <w:p w:rsidR="002B7E4F" w:rsidRPr="002B7E4F" w:rsidRDefault="002B7E4F" w:rsidP="002B7E4F">
      <w:pPr>
        <w:tabs>
          <w:tab w:val="left" w:pos="426"/>
        </w:tabs>
        <w:ind w:left="426"/>
        <w:jc w:val="both"/>
        <w:rPr>
          <w:rFonts w:ascii="Arial" w:hAnsi="Arial" w:cs="Arial"/>
          <w:sz w:val="22"/>
          <w:szCs w:val="22"/>
        </w:rPr>
      </w:pPr>
      <w:r w:rsidRPr="002B7E4F">
        <w:rPr>
          <w:rFonts w:ascii="Arial" w:hAnsi="Arial" w:cs="Arial"/>
          <w:sz w:val="22"/>
          <w:szCs w:val="22"/>
        </w:rPr>
        <w:t>Se someterán a medición de cada una de las dimensiones, revisando que estén dentro de las normas y lo solicitado en los planos aprobados: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51"/>
        </w:numPr>
        <w:rPr>
          <w:rFonts w:ascii="Arial" w:hAnsi="Arial" w:cs="Arial"/>
          <w:b/>
          <w:sz w:val="22"/>
          <w:szCs w:val="22"/>
        </w:rPr>
      </w:pPr>
      <w:bookmarkStart w:id="5" w:name="_Toc368069935"/>
      <w:r w:rsidRPr="002B7E4F">
        <w:rPr>
          <w:rFonts w:ascii="Arial" w:hAnsi="Arial" w:cs="Arial"/>
          <w:b/>
          <w:sz w:val="22"/>
          <w:szCs w:val="22"/>
        </w:rPr>
        <w:t>Base de Pago</w:t>
      </w:r>
      <w:bookmarkEnd w:id="5"/>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pago por unidad de obra terminada se hará al precio unitario fijado en el contrato.</w:t>
      </w:r>
    </w:p>
    <w:sectPr w:rsidR="002B7E4F" w:rsidRPr="002B7E4F"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222E48">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64513"/>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7E"/>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469D"/>
    <w:rsid w:val="000B5C87"/>
    <w:rsid w:val="000B6EA9"/>
    <w:rsid w:val="000B7EBF"/>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3A9C"/>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373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22E48"/>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2370"/>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41E8"/>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1336"/>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2F9D"/>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D2A"/>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3F"/>
    <w:rsid w:val="008904F6"/>
    <w:rsid w:val="00890C02"/>
    <w:rsid w:val="0089490D"/>
    <w:rsid w:val="00894BF1"/>
    <w:rsid w:val="00895603"/>
    <w:rsid w:val="00896C9B"/>
    <w:rsid w:val="008A0995"/>
    <w:rsid w:val="008A25CC"/>
    <w:rsid w:val="008A2D01"/>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4256"/>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747FD"/>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71D"/>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06F0"/>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EF6814"/>
    <w:rsid w:val="00EF7A42"/>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379F"/>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o:shapelayout v:ext="edit">
      <o:idmap v:ext="edit" data="1"/>
      <o:rules v:ext="edit">
        <o:r id="V:Rule5" type="connector" idref="#Conector recto de flecha 47"/>
        <o:r id="V:Rule6" type="connector" idref="#Conector recto de flecha 46"/>
        <o:r id="V:Rule7" type="connector" idref="#Conector recto de flecha 41"/>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A6C601-981D-45EE-8F2A-31DE8E0E3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2012</Words>
  <Characters>11069</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13055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2</cp:revision>
  <cp:lastPrinted>2014-02-10T15:57:00Z</cp:lastPrinted>
  <dcterms:created xsi:type="dcterms:W3CDTF">2014-04-10T22:42:00Z</dcterms:created>
  <dcterms:modified xsi:type="dcterms:W3CDTF">2014-04-10T22:42:00Z</dcterms:modified>
</cp:coreProperties>
</file>